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070F57CF" w:rsidR="00F44C59" w:rsidRPr="00F44C59" w:rsidRDefault="00F44C59" w:rsidP="00F44C59">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3D53AA">
        <w:rPr>
          <w:rFonts w:ascii="Arial" w:eastAsia="MS Gothic" w:hAnsi="Arial" w:cs="Arial"/>
          <w:b/>
          <w:bCs/>
          <w:sz w:val="24"/>
          <w:szCs w:val="24"/>
          <w:lang w:eastAsia="ja-JP"/>
        </w:rPr>
        <w:t>6</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7D71" w:rsidRPr="00F44C59">
        <w:rPr>
          <w:rFonts w:ascii="Arial" w:eastAsia="MS Gothic" w:hAnsi="Arial"/>
          <w:b/>
          <w:sz w:val="24"/>
          <w:szCs w:val="24"/>
          <w:lang w:eastAsia="ja-JP"/>
        </w:rPr>
        <w:t>2</w:t>
      </w:r>
      <w:r w:rsidR="00C07D71">
        <w:rPr>
          <w:rFonts w:ascii="Arial" w:eastAsia="MS Gothic" w:hAnsi="Arial"/>
          <w:b/>
          <w:sz w:val="24"/>
          <w:szCs w:val="24"/>
          <w:lang w:eastAsia="ja-JP"/>
        </w:rPr>
        <w:t>400751</w:t>
      </w:r>
    </w:p>
    <w:p w14:paraId="15F153D3" w14:textId="1D1EBA1C" w:rsidR="00F44C59" w:rsidRPr="00F44C59" w:rsidRDefault="00B94581" w:rsidP="00F44C59">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Athens</w:t>
      </w:r>
      <w:r w:rsidR="00F44C59" w:rsidRPr="00F44C59">
        <w:rPr>
          <w:rFonts w:ascii="Arial" w:eastAsia="MS Mincho" w:hAnsi="Arial" w:cs="Arial"/>
          <w:b/>
          <w:bCs/>
          <w:sz w:val="24"/>
          <w:szCs w:val="24"/>
          <w:lang w:eastAsia="ja-JP"/>
        </w:rPr>
        <w:t>,</w:t>
      </w:r>
      <w:r w:rsidR="00F44C59" w:rsidRPr="00F44C59">
        <w:rPr>
          <w:rFonts w:ascii="Arial" w:eastAsia="MS Mincho" w:hAnsi="Arial" w:cs="Arial"/>
          <w:b/>
          <w:bCs/>
          <w:sz w:val="24"/>
          <w:szCs w:val="24"/>
          <w:lang w:eastAsia="zh-CN"/>
        </w:rPr>
        <w:t xml:space="preserve"> </w:t>
      </w:r>
      <w:bookmarkEnd w:id="0"/>
      <w:r>
        <w:rPr>
          <w:rFonts w:ascii="Arial" w:eastAsia="MS Mincho" w:hAnsi="Arial" w:cs="Arial"/>
          <w:b/>
          <w:bCs/>
          <w:sz w:val="24"/>
          <w:szCs w:val="24"/>
          <w:lang w:eastAsia="zh-CN"/>
        </w:rPr>
        <w:t>Greece</w:t>
      </w:r>
      <w:r w:rsidR="00F44C59" w:rsidRPr="00F44C59">
        <w:rPr>
          <w:rFonts w:ascii="Arial" w:eastAsia="MS Mincho" w:hAnsi="Arial" w:cs="Arial"/>
          <w:b/>
          <w:bCs/>
          <w:sz w:val="24"/>
          <w:szCs w:val="24"/>
          <w:lang w:eastAsia="zh-CN"/>
        </w:rPr>
        <w:t xml:space="preserve">, </w:t>
      </w:r>
      <w:r>
        <w:rPr>
          <w:rFonts w:ascii="Arial" w:eastAsia="MS Mincho" w:hAnsi="Arial" w:cs="Arial"/>
          <w:b/>
          <w:bCs/>
          <w:sz w:val="24"/>
          <w:szCs w:val="24"/>
          <w:lang w:eastAsia="ja-JP"/>
        </w:rPr>
        <w:t>February</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26</w:t>
      </w:r>
      <w:r w:rsidR="00F44C59" w:rsidRPr="00F44C59">
        <w:rPr>
          <w:rFonts w:ascii="Arial" w:eastAsia="MS Mincho" w:hAnsi="Arial" w:cs="Arial"/>
          <w:b/>
          <w:bCs/>
          <w:sz w:val="24"/>
          <w:szCs w:val="24"/>
          <w:vertAlign w:val="superscript"/>
          <w:lang w:eastAsia="ja-JP"/>
        </w:rPr>
        <w:t>th</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 March 1</w:t>
      </w:r>
      <w:r w:rsidRPr="00B94581">
        <w:rPr>
          <w:rFonts w:ascii="Arial" w:eastAsia="MS Mincho" w:hAnsi="Arial" w:cs="Arial"/>
          <w:b/>
          <w:bCs/>
          <w:sz w:val="24"/>
          <w:szCs w:val="24"/>
          <w:vertAlign w:val="superscript"/>
          <w:lang w:eastAsia="ja-JP"/>
        </w:rPr>
        <w:t>st</w:t>
      </w:r>
      <w:r w:rsidR="00F44C59" w:rsidRPr="00F44C59">
        <w:rPr>
          <w:rFonts w:ascii="Arial" w:eastAsia="MS Mincho" w:hAnsi="Arial" w:cs="Arial"/>
          <w:b/>
          <w:bCs/>
          <w:sz w:val="24"/>
          <w:szCs w:val="24"/>
          <w:lang w:eastAsia="zh-CN"/>
        </w:rPr>
        <w:t>, 202</w:t>
      </w:r>
      <w:r>
        <w:rPr>
          <w:rFonts w:ascii="Arial" w:eastAsia="MS Mincho" w:hAnsi="Arial" w:cs="Arial"/>
          <w:b/>
          <w:bCs/>
          <w:sz w:val="24"/>
          <w:szCs w:val="24"/>
          <w:lang w:eastAsia="zh-CN"/>
        </w:rPr>
        <w:t>4</w:t>
      </w:r>
    </w:p>
    <w:p w14:paraId="66297322" w14:textId="19F8034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E4ABB">
        <w:rPr>
          <w:rFonts w:ascii="Arial" w:eastAsia="맑은 고딕"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3CCBEA8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6D14D93E" w:rsidR="00244640" w:rsidRDefault="00DF67AE" w:rsidP="00D62DDA">
      <w:pPr>
        <w:spacing w:after="0" w:line="240" w:lineRule="auto"/>
        <w:ind w:firstLine="284"/>
        <w:jc w:val="both"/>
        <w:rPr>
          <w:rFonts w:eastAsia="MS Gothic"/>
          <w:szCs w:val="16"/>
          <w:lang w:eastAsia="ko-KR"/>
        </w:rPr>
      </w:pPr>
      <w:bookmarkStart w:id="4" w:name="_Hlk145277988"/>
      <w:r w:rsidRPr="00DF67AE">
        <w:rPr>
          <w:rFonts w:eastAsia="MS Gothic"/>
          <w:szCs w:val="16"/>
          <w:lang w:eastAsia="ko-KR"/>
        </w:rPr>
        <w:t>At the previous RAN#1</w:t>
      </w:r>
      <w:r w:rsidR="00465DFD">
        <w:rPr>
          <w:rFonts w:eastAsia="MS Gothic"/>
          <w:szCs w:val="16"/>
          <w:lang w:eastAsia="ko-KR"/>
        </w:rPr>
        <w:t>0</w:t>
      </w:r>
      <w:r w:rsidRPr="00DF67AE">
        <w:rPr>
          <w:rFonts w:eastAsia="MS Gothic"/>
          <w:szCs w:val="16"/>
          <w:lang w:eastAsia="ko-KR"/>
        </w:rPr>
        <w:t>2, the following Work Item Description (WID) was approved</w:t>
      </w:r>
      <w:r w:rsidR="000E0B64">
        <w:rPr>
          <w:rFonts w:eastAsia="MS Gothic"/>
          <w:szCs w:val="16"/>
          <w:lang w:eastAsia="ko-KR"/>
        </w:rPr>
        <w:t xml:space="preserve"> [1]</w:t>
      </w:r>
      <w:r w:rsidRPr="00DF67AE">
        <w:rPr>
          <w:rFonts w:eastAsia="MS Gothic"/>
          <w:szCs w:val="16"/>
          <w:lang w:eastAsia="ko-KR"/>
        </w:rPr>
        <w:t>. The</w:t>
      </w:r>
      <w:r w:rsidR="00B3197E">
        <w:rPr>
          <w:rFonts w:eastAsia="MS Gothic"/>
          <w:szCs w:val="16"/>
          <w:lang w:eastAsia="ko-KR"/>
        </w:rPr>
        <w:t xml:space="preserve"> motivation behind this is that </w:t>
      </w:r>
      <w:r w:rsidR="00D00A6B">
        <w:rPr>
          <w:rFonts w:eastAsia="MS Gothic"/>
          <w:szCs w:val="16"/>
          <w:lang w:eastAsia="ko-KR"/>
        </w:rPr>
        <w:t xml:space="preserve">it may need to optimize uplink performance considering that </w:t>
      </w:r>
      <w:r w:rsidR="00B3197E">
        <w:rPr>
          <w:rFonts w:eastAsia="MS Gothic"/>
          <w:szCs w:val="16"/>
          <w:lang w:eastAsia="ko-KR"/>
        </w:rPr>
        <w:t xml:space="preserve">there will be large number of UE within the same spot beam in </w:t>
      </w:r>
      <w:r w:rsidR="00985404">
        <w:rPr>
          <w:rFonts w:eastAsia="MS Gothic"/>
          <w:szCs w:val="16"/>
          <w:lang w:eastAsia="ko-KR"/>
        </w:rPr>
        <w:t>the</w:t>
      </w:r>
      <w:r w:rsidR="00B3197E">
        <w:rPr>
          <w:rFonts w:eastAsia="MS Gothic"/>
          <w:szCs w:val="16"/>
          <w:lang w:eastAsia="ko-KR"/>
        </w:rPr>
        <w:t xml:space="preserve"> limited frequency resource. </w:t>
      </w:r>
      <w:r w:rsidR="007E211F">
        <w:rPr>
          <w:rFonts w:eastAsia="MS Gothic"/>
          <w:szCs w:val="16"/>
          <w:lang w:eastAsia="ko-KR"/>
        </w:rPr>
        <w:t xml:space="preserve">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1C950EEC" w14:textId="2B11EC40" w:rsidR="00D00A6B" w:rsidRPr="009431DD" w:rsidRDefault="00D00A6B" w:rsidP="00D00A6B">
            <w:pPr>
              <w:overflowPunct w:val="0"/>
              <w:autoSpaceDE w:val="0"/>
              <w:autoSpaceDN w:val="0"/>
              <w:adjustRightInd w:val="0"/>
              <w:spacing w:after="0"/>
              <w:textAlignment w:val="baseline"/>
              <w:rPr>
                <w:rFonts w:eastAsia="Calibri"/>
                <w:lang w:eastAsia="ko-KR"/>
              </w:rPr>
            </w:pPr>
            <w:r>
              <w:rPr>
                <w:rFonts w:eastAsia="Calibri"/>
                <w:lang w:eastAsia="ko-KR"/>
              </w:rPr>
              <w:t xml:space="preserve">2.    </w:t>
            </w:r>
            <w:r w:rsidRPr="009431DD">
              <w:rPr>
                <w:rFonts w:eastAsia="Calibri"/>
                <w:lang w:eastAsia="ko-KR"/>
              </w:rPr>
              <w:t>Uplink Capacity/Throughput Enhancement for FR1-NTN [RAN1, RAN2, RAN4]</w:t>
            </w:r>
          </w:p>
          <w:p w14:paraId="1D6A34C6" w14:textId="77777777" w:rsidR="00D00A6B" w:rsidRPr="009431DD" w:rsidRDefault="00D00A6B" w:rsidP="00D00A6B">
            <w:pPr>
              <w:pStyle w:val="af9"/>
              <w:widowControl w:val="0"/>
              <w:numPr>
                <w:ilvl w:val="0"/>
                <w:numId w:val="18"/>
              </w:numPr>
              <w:contextualSpacing/>
              <w:jc w:val="both"/>
              <w:rPr>
                <w:rFonts w:ascii="Times New Roman" w:hAnsi="Times New Roman"/>
                <w:sz w:val="20"/>
                <w:szCs w:val="20"/>
              </w:rPr>
            </w:pPr>
            <w:r w:rsidRPr="009431DD">
              <w:rPr>
                <w:rFonts w:ascii="Times New Roman" w:hAnsi="Times New Roman"/>
                <w:sz w:val="20"/>
                <w:szCs w:val="20"/>
              </w:rPr>
              <w:t>Study then specify, if beneficial, DFT-s-OFDM PUSCH enhancements via Orthogonal Cover Codes (OCC)</w:t>
            </w:r>
          </w:p>
          <w:p w14:paraId="0E775CE2" w14:textId="77777777" w:rsidR="00D00A6B" w:rsidRPr="009431DD" w:rsidRDefault="00D00A6B" w:rsidP="00D00A6B">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 xml:space="preserve">Determine the achievable capacity improvement to be targeted taking into account realistic impairments (e.g. Doppler, time variation, phase distortion, </w:t>
            </w:r>
            <w:proofErr w:type="spellStart"/>
            <w:r w:rsidRPr="009431DD">
              <w:rPr>
                <w:rFonts w:ascii="Times New Roman" w:hAnsi="Times New Roman"/>
                <w:sz w:val="20"/>
                <w:szCs w:val="20"/>
              </w:rPr>
              <w:t>etc</w:t>
            </w:r>
            <w:proofErr w:type="spellEnd"/>
            <w:r w:rsidRPr="009431DD">
              <w:rPr>
                <w:rFonts w:ascii="Times New Roman" w:hAnsi="Times New Roman"/>
                <w:sz w:val="20"/>
                <w:szCs w:val="20"/>
              </w:rPr>
              <w:t>)</w:t>
            </w:r>
          </w:p>
          <w:p w14:paraId="1433127C" w14:textId="77777777" w:rsidR="00D00A6B" w:rsidRPr="009431DD" w:rsidRDefault="00D00A6B" w:rsidP="00D00A6B">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 xml:space="preserve">Specify necessary </w:t>
            </w:r>
            <w:proofErr w:type="spellStart"/>
            <w:r w:rsidRPr="009431DD">
              <w:rPr>
                <w:rFonts w:ascii="Times New Roman" w:hAnsi="Times New Roman"/>
                <w:sz w:val="20"/>
                <w:szCs w:val="20"/>
              </w:rPr>
              <w:t>signalling</w:t>
            </w:r>
            <w:proofErr w:type="spellEnd"/>
            <w:r w:rsidRPr="009431DD">
              <w:rPr>
                <w:rFonts w:ascii="Times New Roman" w:hAnsi="Times New Roman"/>
                <w:sz w:val="20"/>
                <w:szCs w:val="20"/>
              </w:rPr>
              <w:t xml:space="preserve">, if needed </w:t>
            </w:r>
          </w:p>
          <w:p w14:paraId="0658E45C" w14:textId="77777777" w:rsidR="00D00A6B" w:rsidRPr="009431DD" w:rsidRDefault="00D00A6B" w:rsidP="00D00A6B">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Update RF requirements accordingly, if needed</w:t>
            </w:r>
          </w:p>
          <w:p w14:paraId="1B3D5193" w14:textId="77777777" w:rsidR="00D00A6B" w:rsidRPr="009431DD" w:rsidRDefault="00D00A6B" w:rsidP="00D00A6B">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Note: The study can consider orthogonal cover codes across OFDM symbols, across slots, and/or within an OFDM symbol.</w:t>
            </w:r>
          </w:p>
          <w:p w14:paraId="1A6F3811" w14:textId="77777777" w:rsidR="00D00A6B" w:rsidRPr="009431DD" w:rsidRDefault="00D00A6B" w:rsidP="00D00A6B">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Note: the study phase is targeted to be completed by RAN#104</w:t>
            </w:r>
          </w:p>
          <w:p w14:paraId="37C6987A" w14:textId="77777777" w:rsidR="00D00A6B" w:rsidRPr="009431DD" w:rsidRDefault="00D00A6B" w:rsidP="00D00A6B">
            <w:pPr>
              <w:pStyle w:val="af9"/>
              <w:widowControl w:val="0"/>
              <w:numPr>
                <w:ilvl w:val="0"/>
                <w:numId w:val="18"/>
              </w:numPr>
              <w:contextualSpacing/>
              <w:jc w:val="both"/>
              <w:rPr>
                <w:rFonts w:ascii="Times New Roman" w:hAnsi="Times New Roman"/>
                <w:sz w:val="20"/>
                <w:szCs w:val="20"/>
              </w:rPr>
            </w:pPr>
            <w:r w:rsidRPr="009431DD">
              <w:rPr>
                <w:rFonts w:ascii="Times New Roman" w:hAnsi="Times New Roman"/>
                <w:sz w:val="20"/>
                <w:szCs w:val="20"/>
              </w:rPr>
              <w:t>Notes for this objective:</w:t>
            </w:r>
          </w:p>
          <w:p w14:paraId="58D451EB" w14:textId="77777777" w:rsidR="00D00A6B" w:rsidRPr="009431DD" w:rsidRDefault="00D00A6B" w:rsidP="00D00A6B">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645776CA" w14:textId="77777777" w:rsidR="00D00A6B" w:rsidRPr="009431DD" w:rsidRDefault="00D00A6B" w:rsidP="00D00A6B">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The enhancement is not targeted to PUSCH DMRS</w:t>
            </w:r>
          </w:p>
          <w:p w14:paraId="0A751C19" w14:textId="77777777" w:rsidR="00D00A6B" w:rsidRPr="009431DD" w:rsidRDefault="00D00A6B" w:rsidP="00D00A6B">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No enhancement for initial access</w:t>
            </w:r>
          </w:p>
          <w:p w14:paraId="49C39019" w14:textId="77777777" w:rsidR="00D00A6B" w:rsidRPr="009431DD" w:rsidRDefault="00D00A6B" w:rsidP="00D00A6B">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Enhancements to PRACH are not in scope.</w:t>
            </w:r>
          </w:p>
          <w:p w14:paraId="4432B771" w14:textId="3503F92E" w:rsidR="004177C8" w:rsidRPr="00F77D9A" w:rsidRDefault="00D00A6B" w:rsidP="00F77D9A">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tc>
      </w:tr>
    </w:tbl>
    <w:p w14:paraId="416F599F" w14:textId="77777777" w:rsidR="008337C7" w:rsidRDefault="008337C7" w:rsidP="00F44C59">
      <w:pPr>
        <w:spacing w:after="0" w:line="240" w:lineRule="auto"/>
        <w:jc w:val="both"/>
        <w:rPr>
          <w:rFonts w:eastAsiaTheme="minorEastAsia"/>
          <w:szCs w:val="16"/>
          <w:lang w:eastAsia="ko-KR"/>
        </w:rPr>
      </w:pPr>
    </w:p>
    <w:p w14:paraId="5274B51F" w14:textId="6795058F" w:rsidR="00DF67AE" w:rsidRPr="00DF67AE" w:rsidRDefault="00DF67AE" w:rsidP="00D62DDA">
      <w:pPr>
        <w:spacing w:after="0" w:line="240" w:lineRule="auto"/>
        <w:ind w:firstLine="284"/>
        <w:jc w:val="both"/>
        <w:rPr>
          <w:rFonts w:eastAsia="MS Gothic"/>
          <w:szCs w:val="16"/>
          <w:lang w:eastAsia="ko-KR"/>
        </w:rPr>
      </w:pPr>
      <w:r w:rsidRPr="00DF67AE">
        <w:rPr>
          <w:rFonts w:eastAsia="MS Gothic"/>
          <w:szCs w:val="16"/>
          <w:lang w:eastAsia="ko-KR"/>
        </w:rPr>
        <w:t>This contribution f</w:t>
      </w:r>
      <w:r w:rsidR="0033366A">
        <w:rPr>
          <w:rFonts w:eastAsia="MS Gothic"/>
          <w:szCs w:val="16"/>
          <w:lang w:eastAsia="ko-KR"/>
        </w:rPr>
        <w:t>ocuses on discuss</w:t>
      </w:r>
      <w:r w:rsidR="003E40CE">
        <w:rPr>
          <w:rFonts w:eastAsia="MS Gothic"/>
          <w:szCs w:val="16"/>
          <w:lang w:eastAsia="ko-KR"/>
        </w:rPr>
        <w:t xml:space="preserve">ing on </w:t>
      </w:r>
      <w:r w:rsidR="001511D4">
        <w:rPr>
          <w:lang w:eastAsia="ko-KR"/>
        </w:rPr>
        <w:t>several aspects for NR NTN uplink capacity and throughput enhancement for FR1-NTN</w:t>
      </w:r>
      <w:r w:rsidR="003E40CE">
        <w:rPr>
          <w:rFonts w:eastAsia="MS Gothic"/>
          <w:szCs w:val="16"/>
          <w:lang w:eastAsia="ko-KR"/>
        </w:rPr>
        <w:t xml:space="preserve">. </w:t>
      </w: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1259C613" w14:textId="43BBCCF9" w:rsidR="000F4A7A" w:rsidRDefault="000F4A7A" w:rsidP="000F4A7A">
      <w:pPr>
        <w:spacing w:before="60" w:after="60" w:line="240" w:lineRule="auto"/>
        <w:ind w:firstLine="284"/>
        <w:jc w:val="both"/>
        <w:rPr>
          <w:rFonts w:eastAsiaTheme="minorEastAsia"/>
          <w:szCs w:val="16"/>
          <w:lang w:eastAsia="ko-KR"/>
        </w:rPr>
      </w:pPr>
    </w:p>
    <w:p w14:paraId="143F8555" w14:textId="53FCB4EC" w:rsidR="004D73C1" w:rsidRDefault="00003029" w:rsidP="00150184">
      <w:pPr>
        <w:ind w:firstLine="284"/>
        <w:jc w:val="both"/>
      </w:pPr>
      <w:r>
        <w:t xml:space="preserve">In Rel-18 for NR NTN uplink coverage enhancement we evaluated several channels/signals to </w:t>
      </w:r>
      <w:r w:rsidR="004D73C1">
        <w:t xml:space="preserve">identify </w:t>
      </w:r>
      <w:r>
        <w:t>those channels/signal</w:t>
      </w:r>
      <w:r w:rsidR="004D73C1">
        <w:t>s</w:t>
      </w:r>
      <w:r>
        <w:t xml:space="preserve"> </w:t>
      </w:r>
      <w:r w:rsidR="004D73C1">
        <w:t xml:space="preserve">that </w:t>
      </w:r>
      <w:r>
        <w:t xml:space="preserve">needed further enhancements to provide the necessary coverage for NTN.  Accordingly, efforts were focused on link-level evaluation of NTN. For Rel-19 NR NTN uplink capacity enhancements we can reuse Rel-18 simulation assumptions as shown in the Appendix for link-level evaluation at least </w:t>
      </w:r>
      <w:r w:rsidR="004D73C1">
        <w:t>as a</w:t>
      </w:r>
      <w:r>
        <w:t xml:space="preserve"> starting point.  For modeling frequency error, timing error, phase distortion, etc. due to Doppler and time variation</w:t>
      </w:r>
      <w:r w:rsidR="00863215">
        <w:t>,</w:t>
      </w:r>
      <w:r>
        <w:t xml:space="preserve"> </w:t>
      </w:r>
      <w:r w:rsidR="004D73C1">
        <w:t>further</w:t>
      </w:r>
      <w:r w:rsidR="005A3FCC">
        <w:t xml:space="preserve"> </w:t>
      </w:r>
      <w:r>
        <w:t>evaluation assumptions</w:t>
      </w:r>
      <w:r w:rsidR="004D73C1">
        <w:t xml:space="preserve"> are needed</w:t>
      </w:r>
      <w:r>
        <w:t xml:space="preserve">. </w:t>
      </w:r>
    </w:p>
    <w:p w14:paraId="2DAD734C" w14:textId="25284082" w:rsidR="00337CB5" w:rsidRPr="00150184" w:rsidRDefault="0011121C" w:rsidP="00C07D71">
      <w:pPr>
        <w:jc w:val="both"/>
      </w:pPr>
      <w:r w:rsidRPr="000F4A7A">
        <w:rPr>
          <w:rFonts w:eastAsia="SimSun"/>
          <w:b/>
          <w:bCs/>
          <w:kern w:val="28"/>
          <w:u w:val="single"/>
          <w:lang w:eastAsia="zh-CN"/>
        </w:rPr>
        <w:t xml:space="preserve">Proposal </w:t>
      </w:r>
      <w:r w:rsidR="006866D2">
        <w:rPr>
          <w:rFonts w:eastAsia="SimSun"/>
          <w:b/>
          <w:bCs/>
          <w:kern w:val="28"/>
          <w:u w:val="single"/>
          <w:lang w:eastAsia="zh-CN"/>
        </w:rPr>
        <w:t>1</w:t>
      </w:r>
      <w:r w:rsidRPr="000F4A7A">
        <w:rPr>
          <w:rFonts w:eastAsia="SimSun"/>
          <w:b/>
          <w:bCs/>
          <w:kern w:val="28"/>
          <w:u w:val="single"/>
          <w:lang w:eastAsia="zh-CN"/>
        </w:rPr>
        <w:t>:</w:t>
      </w:r>
      <w:r>
        <w:rPr>
          <w:rFonts w:eastAsia="SimSun"/>
          <w:b/>
          <w:bCs/>
          <w:kern w:val="28"/>
          <w:u w:val="single"/>
          <w:lang w:eastAsia="zh-CN"/>
        </w:rPr>
        <w:t xml:space="preserve"> </w:t>
      </w:r>
      <w:r w:rsidR="006866D2">
        <w:rPr>
          <w:rFonts w:eastAsia="SimSun"/>
          <w:b/>
          <w:bCs/>
          <w:kern w:val="28"/>
          <w:u w:val="single"/>
          <w:lang w:eastAsia="zh-CN"/>
        </w:rPr>
        <w:t xml:space="preserve">Consider PUSCH EVM considered in Rel-18 NTN as a baseline. </w:t>
      </w:r>
      <w:r w:rsidR="00E2209B">
        <w:rPr>
          <w:rFonts w:eastAsia="SimSun"/>
          <w:b/>
          <w:bCs/>
          <w:kern w:val="28"/>
          <w:u w:val="single"/>
          <w:lang w:eastAsia="zh-CN"/>
        </w:rPr>
        <w:t xml:space="preserve"> </w:t>
      </w:r>
    </w:p>
    <w:p w14:paraId="062E3B71" w14:textId="4AA2C42B" w:rsidR="006866D2" w:rsidRPr="00150184" w:rsidRDefault="006866D2" w:rsidP="0011121C">
      <w:pPr>
        <w:spacing w:before="60" w:after="120" w:line="240" w:lineRule="auto"/>
        <w:jc w:val="both"/>
        <w:rPr>
          <w:rFonts w:eastAsia="SimSun"/>
          <w:b/>
          <w:bCs/>
          <w:kern w:val="28"/>
          <w:u w:val="single"/>
          <w:lang w:eastAsia="zh-CN"/>
        </w:rPr>
      </w:pPr>
    </w:p>
    <w:p w14:paraId="29389379" w14:textId="37D8B6AF" w:rsidR="006866D2" w:rsidRPr="00AF086D" w:rsidRDefault="00BA304E" w:rsidP="00BA304E">
      <w:pPr>
        <w:ind w:firstLine="284"/>
        <w:jc w:val="both"/>
        <w:rPr>
          <w:rFonts w:eastAsiaTheme="minorEastAsia"/>
          <w:szCs w:val="16"/>
          <w:lang w:eastAsia="ko-KR"/>
        </w:rPr>
      </w:pPr>
      <w:r>
        <w:t>The uplink enhancement that NR NTN WID asks for is applicable to all NTN scenarios including GSO and NGSO cases.  In fact this study may provide uplink enhancements that could be applicable to UE</w:t>
      </w:r>
      <w:r w:rsidR="004D73C1">
        <w:t>s</w:t>
      </w:r>
      <w:r>
        <w:t xml:space="preserve"> that are operating in terrestrial networks too.  On the other hand, in order to provide “realistic” achievable capacity improvement this study must take into account realistic impairments such as high Doppler scenarios, severe timing variations, and phase distortion that happen mostly for NGSO scenarios such as LEO. For Rel-19 downlink NR NTN coverage enhancement study, </w:t>
      </w:r>
      <w:r w:rsidR="00E41221">
        <w:t xml:space="preserve">it is noted that </w:t>
      </w:r>
      <w:r w:rsidR="004D73C1">
        <w:t xml:space="preserve">the </w:t>
      </w:r>
      <w:r>
        <w:t xml:space="preserve">WID already considers NGSO scenarios and specifically LEO Set-1 @ 600 km to be in priority.  For uplink study, </w:t>
      </w:r>
      <w:r>
        <w:lastRenderedPageBreak/>
        <w:t>considering the realistic impairment assumptions</w:t>
      </w:r>
      <w:r w:rsidR="00262B86">
        <w:t xml:space="preserve"> and the limited time</w:t>
      </w:r>
      <w:r w:rsidR="00632F8A">
        <w:t xml:space="preserve"> for the study</w:t>
      </w:r>
      <w:r>
        <w:t xml:space="preserve">, </w:t>
      </w:r>
      <w:r w:rsidR="00E41221">
        <w:t>it is preferable</w:t>
      </w:r>
      <w:r>
        <w:t xml:space="preserve"> to consider </w:t>
      </w:r>
      <w:r w:rsidRPr="00865F54">
        <w:t>NGSO scenarios and specifically LEO Set-1 @ 600 km to be in priority</w:t>
      </w:r>
      <w:r>
        <w:t>.</w:t>
      </w:r>
      <w:r w:rsidR="006866D2" w:rsidRPr="00492245">
        <w:rPr>
          <w:rFonts w:eastAsiaTheme="minorEastAsia"/>
          <w:szCs w:val="16"/>
          <w:lang w:eastAsia="ko-KR"/>
        </w:rPr>
        <w:t xml:space="preserve"> </w:t>
      </w:r>
    </w:p>
    <w:p w14:paraId="7A7E5980" w14:textId="783B9418" w:rsidR="006866D2" w:rsidRDefault="006866D2" w:rsidP="006866D2">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3E7296">
        <w:rPr>
          <w:rFonts w:eastAsia="SimSun"/>
          <w:b/>
          <w:bCs/>
          <w:kern w:val="28"/>
          <w:u w:val="single"/>
          <w:lang w:eastAsia="zh-CN"/>
        </w:rPr>
        <w:t>2</w:t>
      </w:r>
      <w:r w:rsidRPr="000F4A7A">
        <w:rPr>
          <w:rFonts w:eastAsia="SimSun"/>
          <w:b/>
          <w:bCs/>
          <w:kern w:val="28"/>
          <w:u w:val="single"/>
          <w:lang w:eastAsia="zh-CN"/>
        </w:rPr>
        <w:t>:</w:t>
      </w:r>
      <w:r>
        <w:rPr>
          <w:rFonts w:eastAsia="SimSun"/>
          <w:b/>
          <w:bCs/>
          <w:kern w:val="28"/>
          <w:u w:val="single"/>
          <w:lang w:eastAsia="zh-CN"/>
        </w:rPr>
        <w:t xml:space="preserve"> </w:t>
      </w:r>
      <w:r w:rsidR="003E7296">
        <w:rPr>
          <w:rFonts w:eastAsia="SimSun"/>
          <w:b/>
          <w:bCs/>
          <w:kern w:val="28"/>
          <w:u w:val="single"/>
          <w:lang w:eastAsia="zh-CN"/>
        </w:rPr>
        <w:t>Consider LEO Set-1 @600km in priority</w:t>
      </w:r>
      <w:r>
        <w:rPr>
          <w:rFonts w:eastAsia="SimSun"/>
          <w:b/>
          <w:bCs/>
          <w:kern w:val="28"/>
          <w:u w:val="single"/>
          <w:lang w:eastAsia="zh-CN"/>
        </w:rPr>
        <w:t xml:space="preserve">.  </w:t>
      </w:r>
    </w:p>
    <w:p w14:paraId="0FCB42FC" w14:textId="6489260B" w:rsidR="00EA5ED8" w:rsidRDefault="00EA5ED8" w:rsidP="0022666B">
      <w:pPr>
        <w:ind w:firstLine="284"/>
        <w:jc w:val="both"/>
      </w:pPr>
    </w:p>
    <w:p w14:paraId="7C854EBB" w14:textId="7588EEBF" w:rsidR="00AE2DF1" w:rsidRDefault="00AE2DF1" w:rsidP="0022666B">
      <w:pPr>
        <w:ind w:firstLine="284"/>
        <w:jc w:val="both"/>
      </w:pPr>
      <w:r w:rsidRPr="00AE2DF1">
        <w:t>In [1], there are 3 scenarios to be evaluated for uplink capacity/throughput enhancement via OCC: orthogonal cover codes across OFDM symbols, across slots, and/or within an OFDM symbol. When evaluating capacity/throughput improvement via OCC, it is necessary to decide what baseline scenario should be considered. For instance, for evaluating OCC across OFDM symbols, within a symbol and across slots, Figures 1-3 can be regarded as high-level scenarios.</w:t>
      </w:r>
    </w:p>
    <w:p w14:paraId="6F676B1C" w14:textId="6830D29C" w:rsidR="00432B6A" w:rsidRDefault="00432B6A" w:rsidP="00432B6A">
      <w:pPr>
        <w:ind w:firstLine="284"/>
        <w:jc w:val="center"/>
        <w:rPr>
          <w:lang w:eastAsia="ko-KR"/>
        </w:rPr>
      </w:pPr>
      <w:r>
        <w:rPr>
          <w:noProof/>
          <w:lang w:eastAsia="ko-KR"/>
        </w:rPr>
        <w:drawing>
          <wp:inline distT="0" distB="0" distL="0" distR="0" wp14:anchorId="28B7B931" wp14:editId="26E0662D">
            <wp:extent cx="3336966" cy="1134965"/>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1287" cy="1139836"/>
                    </a:xfrm>
                    <a:prstGeom prst="rect">
                      <a:avLst/>
                    </a:prstGeom>
                    <a:noFill/>
                  </pic:spPr>
                </pic:pic>
              </a:graphicData>
            </a:graphic>
          </wp:inline>
        </w:drawing>
      </w:r>
      <w:r>
        <w:br/>
      </w:r>
      <w:r>
        <w:rPr>
          <w:rFonts w:hint="eastAsia"/>
          <w:lang w:eastAsia="ko-KR"/>
        </w:rPr>
        <w:t xml:space="preserve">Figure 1. </w:t>
      </w:r>
      <w:r w:rsidR="005602EF">
        <w:rPr>
          <w:lang w:eastAsia="ko-KR"/>
        </w:rPr>
        <w:t>An e</w:t>
      </w:r>
      <w:r>
        <w:rPr>
          <w:lang w:eastAsia="ko-KR"/>
        </w:rPr>
        <w:t xml:space="preserve">xample of </w:t>
      </w:r>
      <w:r w:rsidR="005602EF">
        <w:rPr>
          <w:lang w:eastAsia="ko-KR"/>
        </w:rPr>
        <w:t>evaluation scenario for OCC across symbols</w:t>
      </w:r>
      <w:r>
        <w:rPr>
          <w:lang w:eastAsia="ko-KR"/>
        </w:rPr>
        <w:t xml:space="preserve"> (left: TDM, right: OCC across symbols)</w:t>
      </w:r>
    </w:p>
    <w:p w14:paraId="0120CF3E" w14:textId="0E2E3D5C" w:rsidR="00432B6A" w:rsidRDefault="005602EF" w:rsidP="00432B6A">
      <w:pPr>
        <w:ind w:firstLine="284"/>
        <w:jc w:val="center"/>
        <w:rPr>
          <w:lang w:eastAsia="ko-KR"/>
        </w:rPr>
      </w:pPr>
      <w:r>
        <w:rPr>
          <w:noProof/>
          <w:lang w:eastAsia="ko-KR"/>
        </w:rPr>
        <w:drawing>
          <wp:inline distT="0" distB="0" distL="0" distR="0" wp14:anchorId="3F89E256" wp14:editId="28927E13">
            <wp:extent cx="3343110" cy="1166664"/>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1596" cy="1183584"/>
                    </a:xfrm>
                    <a:prstGeom prst="rect">
                      <a:avLst/>
                    </a:prstGeom>
                    <a:noFill/>
                  </pic:spPr>
                </pic:pic>
              </a:graphicData>
            </a:graphic>
          </wp:inline>
        </w:drawing>
      </w:r>
    </w:p>
    <w:p w14:paraId="1EF49D5C" w14:textId="5853CEAA" w:rsidR="005602EF" w:rsidRDefault="005602EF" w:rsidP="00432B6A">
      <w:pPr>
        <w:ind w:firstLine="284"/>
        <w:jc w:val="center"/>
        <w:rPr>
          <w:lang w:eastAsia="ko-KR"/>
        </w:rPr>
      </w:pPr>
      <w:r>
        <w:rPr>
          <w:rFonts w:hint="eastAsia"/>
          <w:lang w:eastAsia="ko-KR"/>
        </w:rPr>
        <w:t xml:space="preserve">Figure </w:t>
      </w:r>
      <w:r>
        <w:rPr>
          <w:lang w:eastAsia="ko-KR"/>
        </w:rPr>
        <w:t>2</w:t>
      </w:r>
      <w:r>
        <w:rPr>
          <w:rFonts w:hint="eastAsia"/>
          <w:lang w:eastAsia="ko-KR"/>
        </w:rPr>
        <w:t xml:space="preserve">. </w:t>
      </w:r>
      <w:r>
        <w:rPr>
          <w:lang w:eastAsia="ko-KR"/>
        </w:rPr>
        <w:t>An example of evaluation scenario for OCC within a symbol (left: FDM, right: OCC within a symbol)</w:t>
      </w:r>
    </w:p>
    <w:p w14:paraId="7D87633C" w14:textId="05B67F20" w:rsidR="00432B6A" w:rsidRDefault="005602EF" w:rsidP="00C87292">
      <w:pPr>
        <w:spacing w:before="180"/>
        <w:jc w:val="center"/>
        <w:rPr>
          <w:lang w:eastAsia="ko-KR"/>
        </w:rPr>
      </w:pPr>
      <w:r>
        <w:rPr>
          <w:noProof/>
          <w:lang w:eastAsia="ko-KR"/>
        </w:rPr>
        <w:drawing>
          <wp:inline distT="0" distB="0" distL="0" distR="0" wp14:anchorId="1F0A2251" wp14:editId="523898A5">
            <wp:extent cx="5880735" cy="1153429"/>
            <wp:effectExtent l="0" t="0" r="0" b="889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7197" cy="1178233"/>
                    </a:xfrm>
                    <a:prstGeom prst="rect">
                      <a:avLst/>
                    </a:prstGeom>
                    <a:noFill/>
                  </pic:spPr>
                </pic:pic>
              </a:graphicData>
            </a:graphic>
          </wp:inline>
        </w:drawing>
      </w:r>
    </w:p>
    <w:p w14:paraId="4D95BDF9" w14:textId="3342A240" w:rsidR="005602EF" w:rsidRDefault="005602EF" w:rsidP="005602EF">
      <w:pPr>
        <w:ind w:firstLine="284"/>
        <w:jc w:val="center"/>
        <w:rPr>
          <w:lang w:eastAsia="ko-KR"/>
        </w:rPr>
      </w:pPr>
      <w:r>
        <w:rPr>
          <w:rFonts w:hint="eastAsia"/>
          <w:lang w:eastAsia="ko-KR"/>
        </w:rPr>
        <w:t xml:space="preserve">Figure </w:t>
      </w:r>
      <w:r>
        <w:rPr>
          <w:lang w:eastAsia="ko-KR"/>
        </w:rPr>
        <w:t>3</w:t>
      </w:r>
      <w:r>
        <w:rPr>
          <w:rFonts w:hint="eastAsia"/>
          <w:lang w:eastAsia="ko-KR"/>
        </w:rPr>
        <w:t xml:space="preserve">. </w:t>
      </w:r>
      <w:r>
        <w:rPr>
          <w:lang w:eastAsia="ko-KR"/>
        </w:rPr>
        <w:t xml:space="preserve">An example of evaluation scenario for OCC </w:t>
      </w:r>
      <w:r w:rsidR="00F310EA">
        <w:rPr>
          <w:lang w:eastAsia="ko-KR"/>
        </w:rPr>
        <w:t>across slots</w:t>
      </w:r>
      <w:r>
        <w:rPr>
          <w:lang w:eastAsia="ko-KR"/>
        </w:rPr>
        <w:t xml:space="preserve"> (left: </w:t>
      </w:r>
      <w:r w:rsidR="00F310EA">
        <w:rPr>
          <w:lang w:eastAsia="ko-KR"/>
        </w:rPr>
        <w:t>TDM</w:t>
      </w:r>
      <w:r>
        <w:rPr>
          <w:lang w:eastAsia="ko-KR"/>
        </w:rPr>
        <w:t xml:space="preserve">, right: OCC </w:t>
      </w:r>
      <w:r w:rsidR="00F310EA">
        <w:rPr>
          <w:lang w:eastAsia="ko-KR"/>
        </w:rPr>
        <w:t>across slots</w:t>
      </w:r>
      <w:r>
        <w:rPr>
          <w:lang w:eastAsia="ko-KR"/>
        </w:rPr>
        <w:t>)</w:t>
      </w:r>
    </w:p>
    <w:p w14:paraId="6E58E1D1" w14:textId="20B5B128" w:rsidR="0057692E" w:rsidRDefault="0057692E" w:rsidP="0057692E">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5A0597">
        <w:rPr>
          <w:rFonts w:eastAsia="SimSun"/>
          <w:b/>
          <w:bCs/>
          <w:kern w:val="28"/>
          <w:u w:val="single"/>
          <w:lang w:eastAsia="zh-CN"/>
        </w:rPr>
        <w:t>3</w:t>
      </w:r>
      <w:r w:rsidRPr="000F4A7A">
        <w:rPr>
          <w:rFonts w:eastAsia="SimSun"/>
          <w:b/>
          <w:bCs/>
          <w:kern w:val="28"/>
          <w:u w:val="single"/>
          <w:lang w:eastAsia="zh-CN"/>
        </w:rPr>
        <w:t>:</w:t>
      </w:r>
      <w:r>
        <w:rPr>
          <w:rFonts w:eastAsia="SimSun"/>
          <w:b/>
          <w:bCs/>
          <w:kern w:val="28"/>
          <w:u w:val="single"/>
          <w:lang w:eastAsia="zh-CN"/>
        </w:rPr>
        <w:t xml:space="preserve"> </w:t>
      </w:r>
      <w:r w:rsidR="00432B6A">
        <w:rPr>
          <w:rFonts w:eastAsia="SimSun"/>
          <w:b/>
          <w:bCs/>
          <w:kern w:val="28"/>
          <w:u w:val="single"/>
          <w:lang w:eastAsia="zh-CN"/>
        </w:rPr>
        <w:t>Discuss baseline scenario</w:t>
      </w:r>
      <w:r w:rsidR="00A252C8">
        <w:rPr>
          <w:rFonts w:eastAsia="SimSun"/>
          <w:b/>
          <w:bCs/>
          <w:kern w:val="28"/>
          <w:u w:val="single"/>
          <w:lang w:eastAsia="zh-CN"/>
        </w:rPr>
        <w:t>(s)</w:t>
      </w:r>
      <w:r w:rsidR="00432B6A">
        <w:rPr>
          <w:rFonts w:eastAsia="SimSun"/>
          <w:b/>
          <w:bCs/>
          <w:kern w:val="28"/>
          <w:u w:val="single"/>
          <w:lang w:eastAsia="zh-CN"/>
        </w:rPr>
        <w:t xml:space="preserve"> to evaluate uplink capacity/throughput performance</w:t>
      </w:r>
      <w:r>
        <w:rPr>
          <w:rFonts w:eastAsia="SimSun"/>
          <w:b/>
          <w:bCs/>
          <w:kern w:val="28"/>
          <w:u w:val="single"/>
          <w:lang w:eastAsia="zh-CN"/>
        </w:rPr>
        <w:t xml:space="preserve">.  </w:t>
      </w:r>
    </w:p>
    <w:p w14:paraId="38AD63D1" w14:textId="10F5B311" w:rsidR="00857C8E" w:rsidRDefault="00857C8E"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6C4853FC"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ontribution discussed on evalu</w:t>
      </w:r>
      <w:r w:rsidR="00653B7E">
        <w:rPr>
          <w:rFonts w:eastAsiaTheme="minorEastAsia"/>
          <w:bCs/>
          <w:kern w:val="28"/>
          <w:lang w:eastAsia="ko-KR"/>
        </w:rPr>
        <w:t xml:space="preserve">ation assumptions for </w:t>
      </w:r>
      <w:r w:rsidR="0022666B">
        <w:rPr>
          <w:rFonts w:eastAsiaTheme="minorEastAsia"/>
          <w:bCs/>
          <w:kern w:val="28"/>
          <w:lang w:eastAsia="ko-KR"/>
        </w:rPr>
        <w:t>uplink capacity/throughput</w:t>
      </w:r>
      <w:r w:rsidR="00653B7E">
        <w:rPr>
          <w:rFonts w:eastAsiaTheme="minorEastAsia"/>
          <w:bCs/>
          <w:kern w:val="28"/>
          <w:lang w:eastAsia="ko-KR"/>
        </w:rPr>
        <w:t xml:space="preserve"> evaluation. Followings are proposals in this contribution. </w:t>
      </w:r>
    </w:p>
    <w:bookmarkEnd w:id="2"/>
    <w:bookmarkEnd w:id="4"/>
    <w:p w14:paraId="40241F5B" w14:textId="2C5EA83B" w:rsidR="00320E37" w:rsidRDefault="00320E37" w:rsidP="00320E37">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1</w:t>
      </w:r>
      <w:r w:rsidRPr="000F4A7A">
        <w:rPr>
          <w:rFonts w:eastAsia="SimSun"/>
          <w:b/>
          <w:bCs/>
          <w:kern w:val="28"/>
          <w:u w:val="single"/>
          <w:lang w:eastAsia="zh-CN"/>
        </w:rPr>
        <w:t>:</w:t>
      </w:r>
      <w:r>
        <w:rPr>
          <w:rFonts w:eastAsia="SimSun"/>
          <w:b/>
          <w:bCs/>
          <w:kern w:val="28"/>
          <w:u w:val="single"/>
          <w:lang w:eastAsia="zh-CN"/>
        </w:rPr>
        <w:t xml:space="preserve"> Consider PUSCH EVM considered in Rel-18 NTN as a baseline.  </w:t>
      </w:r>
    </w:p>
    <w:p w14:paraId="3E171AC3" w14:textId="77777777" w:rsidR="00320E37" w:rsidRDefault="00320E37" w:rsidP="00320E37">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2</w:t>
      </w:r>
      <w:r w:rsidRPr="000F4A7A">
        <w:rPr>
          <w:rFonts w:eastAsia="SimSun"/>
          <w:b/>
          <w:bCs/>
          <w:kern w:val="28"/>
          <w:u w:val="single"/>
          <w:lang w:eastAsia="zh-CN"/>
        </w:rPr>
        <w:t>:</w:t>
      </w:r>
      <w:r>
        <w:rPr>
          <w:rFonts w:eastAsia="SimSun"/>
          <w:b/>
          <w:bCs/>
          <w:kern w:val="28"/>
          <w:u w:val="single"/>
          <w:lang w:eastAsia="zh-CN"/>
        </w:rPr>
        <w:t xml:space="preserve"> Consider LEO Set-1 @600km in priority.  </w:t>
      </w:r>
    </w:p>
    <w:p w14:paraId="33F87345" w14:textId="5F05A0D9" w:rsidR="00320E37" w:rsidRDefault="00320E37" w:rsidP="00320E37">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70408A">
        <w:rPr>
          <w:rFonts w:eastAsia="SimSun"/>
          <w:b/>
          <w:bCs/>
          <w:kern w:val="28"/>
          <w:u w:val="single"/>
          <w:lang w:eastAsia="zh-CN"/>
        </w:rPr>
        <w:t>3</w:t>
      </w:r>
      <w:r w:rsidRPr="000F4A7A">
        <w:rPr>
          <w:rFonts w:eastAsia="SimSun"/>
          <w:b/>
          <w:bCs/>
          <w:kern w:val="28"/>
          <w:u w:val="single"/>
          <w:lang w:eastAsia="zh-CN"/>
        </w:rPr>
        <w:t>:</w:t>
      </w:r>
      <w:r>
        <w:rPr>
          <w:rFonts w:eastAsia="SimSun"/>
          <w:b/>
          <w:bCs/>
          <w:kern w:val="28"/>
          <w:u w:val="single"/>
          <w:lang w:eastAsia="zh-CN"/>
        </w:rPr>
        <w:t xml:space="preserve"> Discuss baseline scenario(s) to evaluate uplink capacity/throughput performance.  </w:t>
      </w:r>
    </w:p>
    <w:p w14:paraId="1D1B21B7" w14:textId="77777777" w:rsidR="00320E37" w:rsidRPr="00915EF3" w:rsidRDefault="00320E37"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49B3A8E8" w:rsidR="003517FB" w:rsidRDefault="00F717A0" w:rsidP="004B4F2B">
      <w:pPr>
        <w:rPr>
          <w:rFonts w:ascii="Arial" w:hAnsi="Arial" w:cs="Arial"/>
          <w:b/>
          <w:sz w:val="24"/>
          <w:szCs w:val="24"/>
          <w:lang w:eastAsia="zh-CN"/>
        </w:rPr>
      </w:pPr>
      <w:bookmarkStart w:id="5" w:name="_Ref134799315"/>
      <w:r>
        <w:rPr>
          <w:rFonts w:eastAsia="SimSun"/>
          <w:noProof/>
          <w:lang w:val="en-GB" w:eastAsia="zh-CN"/>
        </w:rPr>
        <w:t xml:space="preserve">[1] </w:t>
      </w:r>
      <w:bookmarkEnd w:id="5"/>
      <w:r w:rsidR="000E0B64">
        <w:rPr>
          <w:rFonts w:eastAsia="SimSun"/>
          <w:noProof/>
          <w:lang w:val="en-GB" w:eastAsia="zh-CN"/>
        </w:rPr>
        <w:t>RP-2340</w:t>
      </w:r>
      <w:r w:rsidR="0083721C">
        <w:rPr>
          <w:rFonts w:eastAsia="SimSun"/>
          <w:noProof/>
          <w:lang w:val="en-GB" w:eastAsia="zh-CN"/>
        </w:rPr>
        <w:t>78</w:t>
      </w:r>
      <w:r w:rsidR="000E0B64">
        <w:rPr>
          <w:rFonts w:eastAsia="SimSun"/>
          <w:noProof/>
          <w:lang w:val="en-GB" w:eastAsia="zh-CN"/>
        </w:rPr>
        <w:t xml:space="preserve">, </w:t>
      </w:r>
      <w:r w:rsidR="0083721C" w:rsidRPr="0083721C">
        <w:rPr>
          <w:rFonts w:eastAsia="SimSun"/>
          <w:noProof/>
          <w:lang w:val="en-GB" w:eastAsia="zh-CN"/>
        </w:rPr>
        <w:t>New WID: Non-Terrestrial Networks (NTN) for NR Phase 3</w:t>
      </w:r>
      <w:r w:rsidR="0083721C">
        <w:rPr>
          <w:rFonts w:ascii="Arial" w:hAnsi="Arial" w:cs="Arial"/>
          <w:b/>
          <w:sz w:val="24"/>
          <w:szCs w:val="24"/>
          <w:lang w:eastAsia="zh-CN"/>
        </w:rPr>
        <w:t xml:space="preserve"> </w:t>
      </w:r>
    </w:p>
    <w:p w14:paraId="722460EB" w14:textId="2859D099" w:rsidR="00E341D6" w:rsidRDefault="00E341D6" w:rsidP="00E341D6">
      <w:pPr>
        <w:rPr>
          <w:rFonts w:ascii="Arial" w:hAnsi="Arial" w:cs="Arial"/>
          <w:b/>
          <w:sz w:val="24"/>
          <w:szCs w:val="24"/>
          <w:lang w:eastAsia="zh-CN"/>
        </w:rPr>
      </w:pPr>
      <w:r>
        <w:rPr>
          <w:rFonts w:eastAsia="SimSun"/>
          <w:noProof/>
          <w:lang w:val="en-GB" w:eastAsia="zh-CN"/>
        </w:rPr>
        <w:lastRenderedPageBreak/>
        <w:t xml:space="preserve">[2] TR 38.821, </w:t>
      </w:r>
      <w:r w:rsidRPr="005431ED">
        <w:t>Solutions for NR to support non-terrestrial networks (NTN)</w:t>
      </w:r>
      <w:r>
        <w:rPr>
          <w:rFonts w:ascii="Arial" w:hAnsi="Arial" w:cs="Arial"/>
          <w:b/>
          <w:sz w:val="24"/>
          <w:szCs w:val="24"/>
          <w:lang w:eastAsia="zh-CN"/>
        </w:rPr>
        <w:t xml:space="preserve"> </w:t>
      </w:r>
    </w:p>
    <w:p w14:paraId="0C63B2F0" w14:textId="73706E75" w:rsidR="00E341D6" w:rsidRDefault="00E341D6" w:rsidP="004B4F2B">
      <w:pPr>
        <w:rPr>
          <w:lang w:eastAsia="x-none"/>
        </w:rPr>
      </w:pPr>
    </w:p>
    <w:p w14:paraId="19B5DB0A" w14:textId="77777777" w:rsidR="007A6B48" w:rsidRPr="00915EF3" w:rsidRDefault="007A6B48" w:rsidP="007A6B48">
      <w:pPr>
        <w:spacing w:after="0" w:line="240" w:lineRule="auto"/>
        <w:jc w:val="both"/>
        <w:rPr>
          <w:b/>
        </w:rPr>
      </w:pPr>
    </w:p>
    <w:p w14:paraId="70A0CE3F" w14:textId="6E4E4968" w:rsidR="007A6B48" w:rsidRPr="00955133" w:rsidRDefault="007A6B48" w:rsidP="007A6B48">
      <w:pPr>
        <w:pStyle w:val="1"/>
        <w:spacing w:before="0" w:after="60"/>
        <w:ind w:left="432" w:hanging="432"/>
        <w:jc w:val="both"/>
        <w:rPr>
          <w:rFonts w:cs="Arial"/>
          <w:sz w:val="32"/>
          <w:lang w:val="en-US" w:eastAsia="ko-KR"/>
        </w:rPr>
      </w:pPr>
      <w:r>
        <w:rPr>
          <w:rFonts w:cs="Arial"/>
          <w:sz w:val="32"/>
          <w:lang w:val="en-US" w:eastAsia="ko-KR"/>
        </w:rPr>
        <w:t>Appendix</w:t>
      </w:r>
    </w:p>
    <w:p w14:paraId="3B4A7C89" w14:textId="1535EA41" w:rsidR="007A6B48" w:rsidRDefault="007A6B48" w:rsidP="004B4F2B">
      <w:pPr>
        <w:rPr>
          <w:lang w:eastAsia="x-none"/>
        </w:rPr>
      </w:pPr>
    </w:p>
    <w:p w14:paraId="26EB91CB" w14:textId="77777777" w:rsidR="00E44B77" w:rsidRDefault="00E44B77" w:rsidP="00E44B77">
      <w:pPr>
        <w:snapToGrid w:val="0"/>
        <w:rPr>
          <w:rFonts w:eastAsia="MS PGothic"/>
        </w:rPr>
      </w:pPr>
      <w:r>
        <w:rPr>
          <w:rFonts w:eastAsia="MS PGothic"/>
          <w:b/>
          <w:bCs/>
          <w:highlight w:val="green"/>
          <w:lang w:eastAsia="zh-CN"/>
        </w:rPr>
        <w:t>Agreement</w:t>
      </w:r>
    </w:p>
    <w:p w14:paraId="3644E94C" w14:textId="77777777" w:rsidR="00E44B77" w:rsidRDefault="00E44B77" w:rsidP="00E44B77">
      <w:pPr>
        <w:snapToGrid w:val="0"/>
        <w:rPr>
          <w:rFonts w:ascii="Times" w:hAnsi="Times"/>
          <w:szCs w:val="24"/>
        </w:rPr>
      </w:pPr>
      <w:r>
        <w:rPr>
          <w:rFonts w:ascii="Times" w:hAnsi="Times"/>
          <w:szCs w:val="24"/>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E44B77" w14:paraId="23B64F64" w14:textId="77777777" w:rsidTr="0008219A">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CB6C634" w14:textId="77777777" w:rsidR="00E44B77" w:rsidRDefault="00E44B77" w:rsidP="0008219A">
            <w:pPr>
              <w:overflowPunct w:val="0"/>
              <w:autoSpaceDE w:val="0"/>
              <w:autoSpaceDN w:val="0"/>
              <w:snapToGrid w:val="0"/>
              <w:jc w:val="center"/>
              <w:textAlignment w:val="baseline"/>
              <w:rPr>
                <w:b/>
                <w:bCs/>
              </w:rPr>
            </w:pPr>
            <w:r>
              <w:rPr>
                <w:b/>
                <w:bCs/>
                <w:color w:val="00000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ADE7834" w14:textId="77777777" w:rsidR="00E44B77" w:rsidRDefault="00E44B77" w:rsidP="0008219A">
            <w:pPr>
              <w:overflowPunct w:val="0"/>
              <w:autoSpaceDE w:val="0"/>
              <w:autoSpaceDN w:val="0"/>
              <w:snapToGrid w:val="0"/>
              <w:jc w:val="center"/>
              <w:textAlignment w:val="baseline"/>
              <w:rPr>
                <w:b/>
                <w:bCs/>
              </w:rPr>
            </w:pPr>
            <w:r>
              <w:rPr>
                <w:b/>
                <w:bCs/>
                <w:color w:val="000000"/>
              </w:rPr>
              <w:t>Value</w:t>
            </w:r>
          </w:p>
        </w:tc>
      </w:tr>
      <w:tr w:rsidR="00E44B77" w14:paraId="6F8985BD" w14:textId="77777777" w:rsidTr="000821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106368" w14:textId="77777777" w:rsidR="00E44B77" w:rsidRDefault="00E44B77" w:rsidP="0008219A">
            <w:pPr>
              <w:snapToGrid w:val="0"/>
            </w:pPr>
            <w: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C2497A" w14:textId="77777777" w:rsidR="00E44B77" w:rsidRDefault="00E44B77" w:rsidP="0008219A">
            <w:pPr>
              <w:snapToGrid w:val="0"/>
            </w:pPr>
            <w:r>
              <w:t>w/ or w/o frequency hopping</w:t>
            </w:r>
          </w:p>
        </w:tc>
      </w:tr>
      <w:tr w:rsidR="002237C9" w14:paraId="625D47E9" w14:textId="77777777" w:rsidTr="000821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B36BA" w14:textId="77777777" w:rsidR="002237C9" w:rsidRDefault="002237C9" w:rsidP="0008219A">
            <w:pPr>
              <w:snapToGrid w:val="0"/>
            </w:pP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7F57EF" w14:textId="77777777" w:rsidR="002237C9" w:rsidRDefault="002237C9" w:rsidP="0008219A">
            <w:pPr>
              <w:snapToGrid w:val="0"/>
            </w:pPr>
          </w:p>
        </w:tc>
      </w:tr>
      <w:tr w:rsidR="00E44B77" w14:paraId="57600FBF" w14:textId="77777777" w:rsidTr="000821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DC9B40" w14:textId="77777777" w:rsidR="00E44B77" w:rsidRDefault="00E44B77" w:rsidP="0008219A">
            <w:pPr>
              <w:snapToGrid w:val="0"/>
            </w:pPr>
            <w: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3C95D4" w14:textId="77777777" w:rsidR="00E44B77" w:rsidRDefault="00E44B77" w:rsidP="0008219A">
            <w:pPr>
              <w:snapToGrid w:val="0"/>
            </w:pPr>
            <w:r>
              <w:t xml:space="preserve">For low data rate service, w/ HARQ, 10% </w:t>
            </w:r>
            <w:proofErr w:type="spellStart"/>
            <w:r>
              <w:t>iBLER</w:t>
            </w:r>
            <w:proofErr w:type="spellEnd"/>
            <w:r>
              <w:t xml:space="preserve">; w/o HARQ, 10% </w:t>
            </w:r>
            <w:proofErr w:type="spellStart"/>
            <w:r>
              <w:t>iBLER</w:t>
            </w:r>
            <w:proofErr w:type="spellEnd"/>
            <w:r>
              <w:t>.</w:t>
            </w:r>
          </w:p>
          <w:p w14:paraId="024CCCF9" w14:textId="77777777" w:rsidR="00E44B77" w:rsidRDefault="00E44B77" w:rsidP="0008219A">
            <w:pPr>
              <w:snapToGrid w:val="0"/>
              <w:rPr>
                <w:lang w:val="da-DK"/>
              </w:rPr>
            </w:pPr>
            <w:r>
              <w:rPr>
                <w:lang w:val="da-DK"/>
              </w:rPr>
              <w:t>For VoIP, 2% rBLER.</w:t>
            </w:r>
          </w:p>
        </w:tc>
      </w:tr>
      <w:tr w:rsidR="00E44B77" w14:paraId="650C5FC4" w14:textId="77777777" w:rsidTr="000821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49016F" w14:textId="77777777" w:rsidR="00E44B77" w:rsidRDefault="00E44B77" w:rsidP="0008219A">
            <w:pPr>
              <w:snapToGrid w:val="0"/>
            </w:pPr>
            <w: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C8D125" w14:textId="77777777" w:rsidR="00E44B77" w:rsidRDefault="00E44B77" w:rsidP="0008219A">
            <w:pPr>
              <w:snapToGrid w:val="0"/>
            </w:pPr>
            <w:r>
              <w:t xml:space="preserve">1, 2 (optional) </w:t>
            </w:r>
          </w:p>
        </w:tc>
      </w:tr>
      <w:tr w:rsidR="00E44B77" w14:paraId="13080CE6" w14:textId="77777777" w:rsidTr="000821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C2CE8D" w14:textId="77777777" w:rsidR="00E44B77" w:rsidRDefault="00E44B77" w:rsidP="0008219A">
            <w:pPr>
              <w:snapToGrid w:val="0"/>
            </w:pPr>
            <w: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7AC3BA" w14:textId="77777777" w:rsidR="00E44B77" w:rsidRDefault="00E44B77" w:rsidP="0008219A">
            <w:pPr>
              <w:snapToGrid w:val="0"/>
            </w:pPr>
            <w:r>
              <w:t>For 3km/h: Type I, 1 or 2 DMRS symbol, no multiplexing with data.</w:t>
            </w:r>
          </w:p>
          <w:p w14:paraId="72B37B80" w14:textId="77777777" w:rsidR="00E44B77" w:rsidRDefault="00E44B77" w:rsidP="0008219A">
            <w:pPr>
              <w:snapToGrid w:val="0"/>
            </w:pPr>
            <w:r>
              <w:t>For frequency hopping: Type I, 1 or 2 DMRS symbol for each hop, no multiplexing with data.</w:t>
            </w:r>
          </w:p>
          <w:p w14:paraId="6A95E1E5" w14:textId="77777777" w:rsidR="00E44B77" w:rsidRDefault="00E44B77" w:rsidP="0008219A">
            <w:pPr>
              <w:snapToGrid w:val="0"/>
            </w:pPr>
            <w:r>
              <w:t>PUSCH mapping Type, the number of DMRS symbols and DMRS position(s) are reported by companies.</w:t>
            </w:r>
          </w:p>
        </w:tc>
      </w:tr>
      <w:tr w:rsidR="00E44B77" w14:paraId="57DD2784" w14:textId="77777777" w:rsidTr="000821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E38CF3" w14:textId="77777777" w:rsidR="00E44B77" w:rsidRDefault="00E44B77" w:rsidP="0008219A">
            <w:pPr>
              <w:snapToGrid w:val="0"/>
            </w:pPr>
            <w: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A3255C" w14:textId="77777777" w:rsidR="00E44B77" w:rsidRDefault="00E44B77" w:rsidP="0008219A">
            <w:pPr>
              <w:snapToGrid w:val="0"/>
            </w:pPr>
            <w:r>
              <w:t>DFT-s-OFDM, CP-OFDM (optional)</w:t>
            </w:r>
          </w:p>
        </w:tc>
      </w:tr>
      <w:tr w:rsidR="00E44B77" w14:paraId="6C287D04" w14:textId="77777777" w:rsidTr="000821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41DEC6" w14:textId="77777777" w:rsidR="00E44B77" w:rsidRDefault="00E44B77" w:rsidP="0008219A">
            <w:pPr>
              <w:snapToGrid w:val="0"/>
            </w:pPr>
            <w: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C3A62" w14:textId="77777777" w:rsidR="00E44B77" w:rsidRDefault="00E44B77" w:rsidP="0008219A">
            <w:pPr>
              <w:snapToGrid w:val="0"/>
            </w:pPr>
            <w:r>
              <w:t>14 OS</w:t>
            </w:r>
          </w:p>
        </w:tc>
      </w:tr>
      <w:tr w:rsidR="00E44B77" w14:paraId="7F901D23" w14:textId="77777777" w:rsidTr="000821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51043A" w14:textId="77777777" w:rsidR="00E44B77" w:rsidRDefault="00E44B77" w:rsidP="0008219A">
            <w:pPr>
              <w:snapToGrid w:val="0"/>
            </w:pPr>
            <w: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71C15FE" w14:textId="77777777" w:rsidR="00E44B77" w:rsidRDefault="00E44B77" w:rsidP="0008219A">
            <w:pPr>
              <w:snapToGrid w:val="0"/>
            </w:pPr>
            <w:proofErr w:type="gramStart"/>
            <w:r>
              <w:t>w</w:t>
            </w:r>
            <w:proofErr w:type="gramEnd"/>
            <w:r>
              <w:t>/ type A repetition, optional for type B repetition.</w:t>
            </w:r>
          </w:p>
          <w:p w14:paraId="5B845A7C" w14:textId="77777777" w:rsidR="00E44B77" w:rsidRDefault="00E44B77" w:rsidP="0008219A">
            <w:pPr>
              <w:snapToGrid w:val="0"/>
            </w:pPr>
            <w:r>
              <w:t>The actual number of repetitions is reported by companies.</w:t>
            </w:r>
          </w:p>
        </w:tc>
      </w:tr>
      <w:tr w:rsidR="00E44B77" w14:paraId="07E08DE6" w14:textId="77777777" w:rsidTr="000821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BABC9A" w14:textId="77777777" w:rsidR="00E44B77" w:rsidRDefault="00E44B77" w:rsidP="0008219A">
            <w:pPr>
              <w:snapToGrid w:val="0"/>
            </w:pPr>
            <w: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E24792" w14:textId="77777777" w:rsidR="00E44B77" w:rsidRDefault="00E44B77" w:rsidP="0008219A">
            <w:pPr>
              <w:snapToGrid w:val="0"/>
            </w:pPr>
            <w:r>
              <w:t xml:space="preserve">Whether/How HARQ is adopted is reported by companies. </w:t>
            </w:r>
          </w:p>
        </w:tc>
      </w:tr>
      <w:tr w:rsidR="00E44B77" w14:paraId="6E5926DF" w14:textId="77777777" w:rsidTr="0008219A">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B06C92" w14:textId="77777777" w:rsidR="00E44B77" w:rsidRDefault="00E44B77" w:rsidP="0008219A">
            <w:pPr>
              <w:snapToGrid w:val="0"/>
            </w:pPr>
            <w: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4209D6" w14:textId="77777777" w:rsidR="00E44B77" w:rsidRDefault="00E44B77" w:rsidP="0008219A">
            <w:pPr>
              <w:snapToGrid w:val="0"/>
            </w:pPr>
            <w:r>
              <w:t xml:space="preserve">Any value of PRBs, and corresponding MCS index, reported by companies will be considered in the discussion. </w:t>
            </w:r>
          </w:p>
          <w:p w14:paraId="2B8026B1" w14:textId="77777777" w:rsidR="00E44B77" w:rsidRDefault="00E44B77" w:rsidP="0008219A">
            <w:pPr>
              <w:snapToGrid w:val="0"/>
            </w:pPr>
            <w:r>
              <w:t>TBS can be calculated based on e.g. the number of PRBs, target data rate, frame structure and overhead.</w:t>
            </w:r>
          </w:p>
        </w:tc>
      </w:tr>
      <w:tr w:rsidR="00E44B77" w14:paraId="3A8B250F" w14:textId="77777777" w:rsidTr="0008219A">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6D35194B" w14:textId="77777777" w:rsidR="00E44B77" w:rsidRDefault="00E44B77" w:rsidP="0008219A">
            <w:pPr>
              <w:snapToGrid w:val="0"/>
            </w:pPr>
            <w: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29183BD2" w14:textId="77777777" w:rsidR="00E44B77" w:rsidRDefault="00E44B77" w:rsidP="0008219A">
            <w:pPr>
              <w:snapToGrid w:val="0"/>
            </w:pPr>
            <w:r>
              <w:t>Any value of PRBs reported by companies will be considered in the discussion.</w:t>
            </w:r>
          </w:p>
          <w:p w14:paraId="21BBBE95" w14:textId="77777777" w:rsidR="00E44B77" w:rsidRDefault="00E44B77" w:rsidP="0008219A">
            <w:pPr>
              <w:snapToGrid w:val="0"/>
            </w:pPr>
            <w:r>
              <w:t>QPSK, pi/2 BPSK (optional)</w:t>
            </w:r>
          </w:p>
        </w:tc>
      </w:tr>
      <w:tr w:rsidR="00E44B77" w14:paraId="2094A718" w14:textId="77777777" w:rsidTr="0008219A">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7197C81" w14:textId="77777777" w:rsidR="00E44B77" w:rsidRDefault="00E44B77" w:rsidP="0008219A">
            <w:pPr>
              <w:snapToGrid w:val="0"/>
            </w:pPr>
            <w: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CA2259" w14:textId="77777777" w:rsidR="00E44B77" w:rsidRDefault="00E44B77" w:rsidP="0008219A">
            <w:pPr>
              <w:snapToGrid w:val="0"/>
            </w:pPr>
            <w:r>
              <w:t>Reported by companies</w:t>
            </w:r>
          </w:p>
        </w:tc>
      </w:tr>
    </w:tbl>
    <w:p w14:paraId="50687FAD" w14:textId="7589BE2D" w:rsidR="007A6B48" w:rsidRPr="00E341D6" w:rsidRDefault="007A6B48" w:rsidP="004B4F2B">
      <w:pPr>
        <w:rPr>
          <w:lang w:eastAsia="x-none"/>
        </w:rPr>
      </w:pPr>
      <w:bookmarkStart w:id="6" w:name="_GoBack"/>
      <w:bookmarkEnd w:id="6"/>
    </w:p>
    <w:sectPr w:rsidR="007A6B48" w:rsidRPr="00E341D6"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EACC5" w14:textId="77777777" w:rsidR="002977E5" w:rsidRDefault="002977E5">
      <w:r>
        <w:separator/>
      </w:r>
    </w:p>
  </w:endnote>
  <w:endnote w:type="continuationSeparator" w:id="0">
    <w:p w14:paraId="7CE4D674" w14:textId="77777777" w:rsidR="002977E5" w:rsidRDefault="00297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4210174F"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0560DA">
      <w:rPr>
        <w:rStyle w:val="af2"/>
        <w:i/>
        <w:color w:val="auto"/>
      </w:rPr>
      <w:t>3</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1019C" w14:textId="77777777" w:rsidR="002977E5" w:rsidRDefault="002977E5">
      <w:r>
        <w:separator/>
      </w:r>
    </w:p>
  </w:footnote>
  <w:footnote w:type="continuationSeparator" w:id="0">
    <w:p w14:paraId="11D9E05F" w14:textId="77777777" w:rsidR="002977E5" w:rsidRDefault="00297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6"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7"/>
  </w:num>
  <w:num w:numId="4">
    <w:abstractNumId w:val="14"/>
  </w:num>
  <w:num w:numId="5">
    <w:abstractNumId w:val="4"/>
  </w:num>
  <w:num w:numId="6">
    <w:abstractNumId w:val="17"/>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3"/>
  </w:num>
  <w:num w:numId="10">
    <w:abstractNumId w:val="15"/>
  </w:num>
  <w:num w:numId="11">
    <w:abstractNumId w:val="12"/>
  </w:num>
  <w:num w:numId="12">
    <w:abstractNumId w:val="2"/>
  </w:num>
  <w:num w:numId="13">
    <w:abstractNumId w:val="18"/>
  </w:num>
  <w:num w:numId="14">
    <w:abstractNumId w:val="6"/>
  </w:num>
  <w:num w:numId="15">
    <w:abstractNumId w:val="16"/>
  </w:num>
  <w:num w:numId="16">
    <w:abstractNumId w:val="11"/>
  </w:num>
  <w:num w:numId="17">
    <w:abstractNumId w:val="19"/>
  </w:num>
  <w:num w:numId="18">
    <w:abstractNumId w:val="9"/>
  </w:num>
  <w:num w:numId="19">
    <w:abstractNumId w:val="3"/>
  </w:num>
  <w:num w:numId="2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0DA"/>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B"/>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56"/>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6B"/>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7E5"/>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9FC"/>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DFD"/>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1"/>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C4"/>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2C33"/>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7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332"/>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D71"/>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5F72"/>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DEC"/>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C3C"/>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9E0"/>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3E1F6-D671-4A5B-833F-48990B24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880</Words>
  <Characters>5017</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박성진/표준연구팀(SR)/삼성전자</cp:lastModifiedBy>
  <cp:revision>7</cp:revision>
  <cp:lastPrinted>2015-10-31T09:51:00Z</cp:lastPrinted>
  <dcterms:created xsi:type="dcterms:W3CDTF">2024-02-14T05:22:00Z</dcterms:created>
  <dcterms:modified xsi:type="dcterms:W3CDTF">2024-02-19T00:44:00Z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